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30.06.2021 N 563</w:t>
              <w:br/>
              <w:t xml:space="preserve">(ред. от 19.07.2022)</w:t>
              <w:br/>
              <w:t xml:space="preserve">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31.08.63 Сердечно-сосудистая хирургия"</w:t>
              <w:br/>
              <w:t xml:space="preserve">(Зарегистрировано в Минюсте России 28.07.2021 N 64405)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10.04.2023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июля 2021 г. N 64405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июня 2021 г. N 563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ПОДГОТОВКА КАДРОВ ВЫСШЕЙ КВАЛИФИКАЦИИ</w:t>
      </w:r>
    </w:p>
    <w:p>
      <w:pPr>
        <w:pStyle w:val="2"/>
        <w:jc w:val="center"/>
      </w:pPr>
      <w:r>
        <w:rPr>
          <w:sz w:val="20"/>
        </w:rPr>
        <w:t xml:space="preserve">ПО ПРОГРАММАМ ОРДИНАТУРЫ ПО СПЕЦИАЛЬНОСТИ</w:t>
      </w:r>
    </w:p>
    <w:p>
      <w:pPr>
        <w:pStyle w:val="2"/>
        <w:jc w:val="center"/>
      </w:pPr>
      <w:r>
        <w:rPr>
          <w:sz w:val="20"/>
        </w:rPr>
        <w:t xml:space="preserve">31.08.63 СЕРДЕЧНО-СОСУДИСТАЯ ХИРУРГИЯ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19.07.2022 N 662)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4.2.40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3851), и </w:t>
      </w:r>
      <w:hyperlink w:history="0" r:id="rId9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40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подготовка кадров высшей квалификации по программам ординатуры по специальности 31.08.63 Сердечно-сосудистая хирургия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образования, организация дополнительного профессионального образования и научная организация вправе осуществлять в соответствии со </w:t>
      </w:r>
      <w:hyperlink w:history="0" w:anchor="P40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1" w:tooltip="Приказ Минобрнауки России от 26.08.2014 N 1106 &quot;Об утверждении федерального государственного образовательного стандарта высшего образования по специальности 31.08.63 Сердечно-сосудистая хирургия (уровень подготовки кадров высшей квалификации)&quot; (Зарегистрировано в Минюсте России 28.10.2014 N 3448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специальности </w:t>
      </w:r>
      <w:hyperlink w:history="0" r:id="rId1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0"/>
            <w:color w:val="0000ff"/>
          </w:rPr>
          <w:t xml:space="preserve">31.08.63</w:t>
        </w:r>
      </w:hyperlink>
      <w:r>
        <w:rPr>
          <w:sz w:val="20"/>
        </w:rPr>
        <w:t xml:space="preserve"> Сердечно-сосудистая хирургия (уровень подготовки кадров высшей квалификации), утвержденным приказом Министерства образования и науки Российской Федерации от 26 августа 2014 г. N 1106 (зарегистрирован Министерством юстиции Российской Федерации 28 октября 2014 г., регистрационный N 34487), прекращается 31 декабря 2021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июня 2021 г. N 563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ПОДГОТОВКА КАДРОВ ВЫСШЕЙ КВАЛИФИКАЦИИ</w:t>
      </w:r>
    </w:p>
    <w:p>
      <w:pPr>
        <w:pStyle w:val="2"/>
        <w:jc w:val="center"/>
      </w:pPr>
      <w:r>
        <w:rPr>
          <w:sz w:val="20"/>
        </w:rPr>
        <w:t xml:space="preserve">ПО ПРОГРАММАМ ОРДИНАТУРЫ ПО СПЕЦИАЛЬНОСТИ</w:t>
      </w:r>
    </w:p>
    <w:p>
      <w:pPr>
        <w:pStyle w:val="2"/>
        <w:jc w:val="center"/>
      </w:pPr>
      <w:r>
        <w:rPr>
          <w:sz w:val="20"/>
        </w:rPr>
        <w:t xml:space="preserve">31.08.63 СЕРДЕЧНО-СОСУДИСТАЯ ХИРУРГИЯ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19.07.2022 N 662)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ординатуры по специальности 31.08.63 Сердечно-сосудистая хирургия (далее соответственно - программа ординатуры, специальность).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Получение образования по программе ординатуры допускается только в образовательной организации высшего образования, организации дополнительного профессионального образования и научной организации (далее вместе - Организация).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Обучение по программе ординатуры в Организации осуществляется в очной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Содержание высшего образования по специальности определяется программой ординатуры, разрабатываемой и утверждаемой Организацией самостоятельно. При разработке программы ординатуры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разрабатывает программу ординатуры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Программа ординатуры,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history="0" r:id="rId1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 правопорядка), разрабатывается на основе требований, предусмотренных указанным Федеральным </w:t>
      </w:r>
      <w:hyperlink w:history="0" r:id="rId1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Программа ординатуры в области медицинского образования и фармацевтического образования разрабатывается с учетом особенностей, установленных </w:t>
      </w:r>
      <w:hyperlink w:history="0" r:id="rId1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статьей 82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2 статьи 82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1.6. При реализации программы ординатуры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программы ординатуры с применением исключительно электронного обучения, дистанционных образовательных технологий не допускается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3 статьи 16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Реализация программы ординатуры осуществляется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Программа ординатуры реализуется на государственном языке Российской Федерации, если иное не определено локальным нормативным актом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74" w:name="P74"/>
    <w:bookmarkEnd w:id="74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программе ординатуры (вне зависимости от применяемых образовательных технологий):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включая каникулы, предоставляемые после прохождения государственной итоговой аттестации, составляет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6 месяцев.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Объем программы ординатуры составляет 180 зачетных единиц (далее - з.е.) вне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учебному плану.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программы ординатуры, реализуемый за один учебный год, составляет не более 70 з.е. вне зависимости от применяемых образовательных технологий, реализации программы с использованием сетевой формы, реализации программы ординатуры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ординатуры, реализуемый за один учебный год, составляет не более 75 з.е.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Организация самостоятельно определяет в пределах сроков и объемов, установленных </w:t>
      </w:r>
      <w:hyperlink w:history="0" w:anchor="P74" w:tooltip="1.9. Срок получения образования по программе ординатуры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1.9</w:t>
        </w:r>
      </w:hyperlink>
      <w:r>
        <w:rPr>
          <w:sz w:val="20"/>
        </w:rPr>
        <w:t xml:space="preserve"> и </w:t>
      </w:r>
      <w:hyperlink w:history="0" w:anchor="P77" w:tooltip="1.10. Объем программы ординатуры составляет 180 зачетных единиц (далее - з.е.) вн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у плану.">
        <w:r>
          <w:rPr>
            <w:sz w:val="20"/>
            <w:color w:val="0000ff"/>
          </w:rPr>
          <w:t xml:space="preserve">1.10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программе ординатуры по индивидуальному учебному плану, в том числе при ускоренном обучении;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программы ординатуры, реализуемый за один учебный год.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Области профессиональной деятельности &lt;5&gt; и сферы профессиональной деятельности, в которых выпускники, освоившие программу ординатуры (далее - выпускники), могут осуществлять профессиональную деятельность: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профессионального обучения, среднего профессионального и высшего образования, дополнительного профессионального образования; научных исследований);</w:t>
      </w:r>
    </w:p>
    <w:p>
      <w:pPr>
        <w:pStyle w:val="0"/>
        <w:spacing w:before="200" w:line-rule="auto"/>
        <w:ind w:firstLine="540"/>
        <w:jc w:val="both"/>
      </w:pPr>
      <w:hyperlink w:history="0"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 Здравоохранение (в сфере сердечно-сосудистой хирургии);</w:t>
      </w:r>
    </w:p>
    <w:p>
      <w:pPr>
        <w:pStyle w:val="0"/>
        <w:spacing w:before="200" w:line-rule="auto"/>
        <w:ind w:firstLine="540"/>
        <w:jc w:val="both"/>
      </w:pPr>
      <w:hyperlink w:history="0" r:id="rId2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07</w:t>
        </w:r>
      </w:hyperlink>
      <w:r>
        <w:rPr>
          <w:sz w:val="20"/>
        </w:rPr>
        <w:t xml:space="preserve"> Административно-управленческая и офисная деятельность (в сфере здравоохранения).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В рамках освоения программы ординатуры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педагогический.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программы ординатуры Организация устанавливает направленность (профиль) программы ординатуры, которая соответствует специальности в целом или конкретизирует содержание программы ординатуры в рамках специальности путем ориентации ее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1.15. Программа ординатуры,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ординатуры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ординатуры включает следующие блоки:</w:t>
      </w:r>
    </w:p>
    <w:p>
      <w:pPr>
        <w:pStyle w:val="0"/>
        <w:spacing w:before="200" w:line-rule="auto"/>
        <w:ind w:firstLine="540"/>
        <w:jc w:val="both"/>
      </w:pPr>
      <w:hyperlink w:history="0" w:anchor="P115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-rule="auto"/>
        <w:ind w:firstLine="540"/>
        <w:jc w:val="both"/>
      </w:pPr>
      <w:hyperlink w:history="0" w:anchor="P11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-rule="auto"/>
        <w:ind w:firstLine="540"/>
        <w:jc w:val="both"/>
      </w:pPr>
      <w:hyperlink w:history="0" w:anchor="P12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ординатуры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4252"/>
        <w:gridCol w:w="3345"/>
      </w:tblGrid>
      <w:tr>
        <w:tc>
          <w:tcPr>
            <w:gridSpan w:val="2"/>
            <w:tcW w:w="57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ординатуры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ординатуры и ее блоков в з.е.</w:t>
            </w:r>
          </w:p>
        </w:tc>
      </w:tr>
      <w:tr>
        <w:tc>
          <w:tcPr>
            <w:tcW w:w="1474" w:type="dxa"/>
          </w:tcPr>
          <w:bookmarkStart w:id="115" w:name="P115"/>
          <w:bookmarkEnd w:id="115"/>
          <w:p>
            <w:pPr>
              <w:pStyle w:val="0"/>
              <w:ind w:left="283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</w:t>
            </w:r>
          </w:p>
        </w:tc>
      </w:tr>
      <w:tr>
        <w:tc>
          <w:tcPr>
            <w:tcW w:w="1474" w:type="dxa"/>
          </w:tcPr>
          <w:bookmarkStart w:id="118" w:name="P118"/>
          <w:bookmarkEnd w:id="118"/>
          <w:p>
            <w:pPr>
              <w:pStyle w:val="0"/>
              <w:ind w:left="283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114</w:t>
            </w:r>
          </w:p>
        </w:tc>
      </w:tr>
      <w:tr>
        <w:tc>
          <w:tcPr>
            <w:tcW w:w="1474" w:type="dxa"/>
          </w:tcPr>
          <w:bookmarkStart w:id="121" w:name="P121"/>
          <w:bookmarkEnd w:id="121"/>
          <w:p>
            <w:pPr>
              <w:pStyle w:val="0"/>
              <w:ind w:left="283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2"/>
            <w:tcW w:w="5726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ординатуры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27" w:name="P127"/>
    <w:bookmarkEnd w:id="127"/>
    <w:p>
      <w:pPr>
        <w:pStyle w:val="0"/>
        <w:ind w:firstLine="540"/>
        <w:jc w:val="both"/>
      </w:pPr>
      <w:r>
        <w:rPr>
          <w:sz w:val="20"/>
        </w:rPr>
        <w:t xml:space="preserve">2.2. В </w:t>
      </w:r>
      <w:hyperlink w:history="0" w:anchor="P11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входит производственная практика.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клиническая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дополнение к типам практик, указанным в </w:t>
      </w:r>
      <w:hyperlink w:history="0" w:anchor="P127" w:tooltip="2.2. В Блок 2 &quot;Практика&quot; входит производственная практика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выбирает один или несколько типов производственной практики из перечня, указанного в </w:t>
      </w:r>
      <w:hyperlink w:history="0" w:anchor="P127" w:tooltip="2.2. В Блок 2 &quot;Практика&quot; входит производственная практика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выбрать один или несколько типов производственной практики из рекомендуемых ПООП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производственной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Реализация практической подготовки обучающихся обеспечивается путем их участия в осуществлении медицинской деятельности или фармацевтической деятельности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4 статьи 82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2.6. В </w:t>
      </w:r>
      <w:hyperlink w:history="0" w:anchor="P12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 подготовка к сдаче и сдача государственного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При разработке программы ординатуры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ординатуры, устанавливаемом федеральным государственным органом, в ведении которого находятся соответствующие организации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2.9. В рамках программы ординатуры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обязательной части программы ординатуры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ординатуры и (или) в часть, формируемую участниками образовательных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90 процентов общего объема программы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ординатуры,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Реализация части (частей) программы ординатуры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допускаются с применением электронного обучения, дистанционных образовательных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Объем контактной работы обучающихся с педагогическими работниками Организации при проведении учебных занятий по программе ординатуры должен составлять не менее 50 процентов общего объема времени, отводимого на реализацию дисциплин (модулей).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Реализация практической подготовки обучающихся, осуществляемой в соответствии с </w:t>
      </w:r>
      <w:hyperlink w:history="0" r:id="rId28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е России 01.11.2013 N 3030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&lt;8&gt;, а также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29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е России 01.11.2013 N 3030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3 сентября 2013 г. N 620н "Об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образования" (зарегистрирован Министерством юстиции Российской Федерации 1 ноября 2013 г., регистрационный N 30304).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 программы ординатуры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ординатуры у выпускника должны быть сформированы компетенции, установленные программой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Программа ординатуры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13"/>
        <w:gridCol w:w="6236"/>
      </w:tblGrid>
      <w:tr>
        <w:tc>
          <w:tcPr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разрабатывать, реализовывать проект и управлять им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выстраивать взаимодействие в рамках своей профессиональной деятельности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ординатуры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13"/>
        <w:gridCol w:w="6236"/>
      </w:tblGrid>
      <w:tr>
        <w:tc>
          <w:tcPr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 сфере информационных технологий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 управленческая деятельность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Педагогическая деятельность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осуществлять педагогическую деятельность</w:t>
            </w:r>
          </w:p>
        </w:tc>
      </w:tr>
      <w:tr>
        <w:tc>
          <w:tcPr>
            <w:tcW w:w="2813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Медицинская деятельность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проводить клиническую диагностику и обследование пациентов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ОПК-6. 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абилитации 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ОПК-7. 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ОПК-8. 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ОПК-9. 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направленности (профиля) программ ординатуры, указанных в </w:t>
      </w:r>
      <w:hyperlink w:history="0" w:anchor="P55" w:tooltip="1.5. Программа ординатуры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статьи 81 Федерального закона от 29 декабря 2012 г. N 273-ФЗ &quot;Об образовании в Российской Федерации&quot; (далее - федеральные государственные организации, осуществляющие подготовку кадров в интересах обороны и безопасности государства, обеспечения з...">
        <w:r>
          <w:rPr>
            <w:sz w:val="20"/>
            <w:color w:val="0000ff"/>
          </w:rPr>
          <w:t xml:space="preserve">пункте 1.5</w:t>
        </w:r>
      </w:hyperlink>
      <w:r>
        <w:rPr>
          <w:sz w:val="20"/>
        </w:rPr>
        <w:t xml:space="preserve"> ФГОС 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программы ординатуры, определяется квалификационными требованиями к военно-профессиональной, специальной профессиональной подготовке выпускников, устанавливаемыми федеральным государственным органом, в ведении которого находятся соответствующие организации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3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93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r>
        <w:rPr>
          <w:sz w:val="20"/>
        </w:rPr>
        <w:t xml:space="preserve">http://profstandart.rosmintrud.ru</w:t>
      </w:r>
      <w:r>
        <w:rPr>
          <w:sz w:val="20"/>
        </w:rPr>
        <w:t xml:space="preserve">) &lt;10&gt; (при наличии соответствующих профессиональных стандартов).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</w:t>
      </w:r>
      <w:hyperlink w:history="0" r:id="rId3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&lt;11&gt;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</w:t>
      </w:r>
      <w:hyperlink w:history="0" r:id="rId32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ординатуры,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сфере и (или) профессиональной деятельности, установленных в соответствии с </w:t>
      </w:r>
      <w:hyperlink w:history="0" w:anchor="P83" w:tooltip="1.12. Области профессиональной деятельности &lt;5&gt; и сферы профессиональной деятельности, в которых выпускники, освоившие программу ординатуры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91" w:tooltip="1.13. В рамках освоения программы ординатуры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1.13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Организация устанавливает в программе ординатуры индикаторы достижения компетенций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ординатуры индикаторами достижения компетенций.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ординатуры.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ординатуры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ординатуры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ординатуры, а также требования к применяемым механизмам оценки качества образовательной деятельности и подготовки обучающихся по программе ординатуры.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ординатуры по </w:t>
      </w:r>
      <w:hyperlink w:history="0" w:anchor="P115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21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реализации программы ординатуры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ординатуры;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Федеральный </w:t>
      </w:r>
      <w:hyperlink w:history="0" r:id="rId33" w:tooltip="Федеральный закон от 27.07.2006 N 149-ФЗ (ред. от 29.12.2022) &quot;Об информации, информационных технологиях и о защите информации&quot; (с изм. и доп., вступ. в силу с 01.03.202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2021, N 11, ст. 1708), Федеральный </w:t>
      </w:r>
      <w:hyperlink w:history="0" r:id="rId34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2021, N 1, ст. 58).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органом, в ведении которого находятся соответствующие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4.2.3. При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ординатуры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 (модулей).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Минимально необходимый для реализации программы ординатуры перечень материально-технического и учебно-методического обеспечения включает в себя в том числе помещения для симуляционного обучения, оборудованные фантомной и симуляционной техникой, имитирующей медицинские манипуляции и вмешательства, в количестве, позволяющем обучающимся осваивать трудовые действия и формировать необходимые навыки для выполнения трудовых функций, предусмотренных профессиональным стандартом, индивидуально.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Организации должен быть укомплектован печатными изданиями из расчета не менее 0,25 экземпляра каждого из изданий, указанных в рабочих программах дисциплин (модулей) и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практическую подготовку.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Электронная информационно-образовательная среда должна обеспечивать одновременный доступ к системе не менее 25 процентов обучающихся по программе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4.3.6. Обучающиеся из числа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Реализация программы ординатуры обеспечивается педагогическими работниками Организации, а также лицами, привлекаемыми Организацией к реализации программы ординатуры на иных условиях в соответствии с Порядком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 &lt;13&gt;.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</w:t>
      </w:r>
      <w:hyperlink w:history="0" r:id="rId35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&quot; (Зарегистрировано в Минюсте России 27.02.2014 N 31439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 (зарегистрирован Министерством юстиции Российской Федерации 27 февраля 2014 г., регистрационный N 31439) с изменением, внесенным приказом Министерства здравоохранения Российской Федерации от 28 сентября 2020 г. N 1034н (зарегистрирован Министерством юстиции Российской Федерации 19 октября 2020 г., регистрационный N 60458).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ординатуры, и лиц, привлекаемых Организацией к реализации программы ординатуры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Не менее 10 процентов численности педагогических работников Организации, участвующих в реализации программы ординатуры, и лиц, привлекаемых Организацией к реализации программы ординатуры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доля указанных педагогических работников должна составлять не менее 1 процента их общей численности.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ординатуры, не менее 10 лет, воинское (специальное) звание не ниже "подполковник" ("капитан 2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4.4.6. Общее руководство научным содержанием программы ординатуры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специальности,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ординатуры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ординатуры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&lt;14&gt;.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</w:t>
      </w:r>
      <w:hyperlink w:history="0" r:id="rId36" w:tooltip="Постановление Правительства РФ от 26.06.2015 N 640 (ред. от 18.01.2023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ординатуры должно осуществляться в пределах бюджетных ассигнований федерального бюджета, выделяемых федеральному органу исполнительной власти, в ведении которого находится указанная Организация.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ординатуры.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ординатуры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4.6.2. В целях совершенствования программы ординатуры Организация при проведении регулярной внутренней оценки качества образовательной деятельности и подготовки обучающихся по программе ординатуры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ординатуры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ординатуры в рамках процедуры государственной аккредитации осуществляется с целью подтверждения соответствия образовательной деятельности по программе ординатуры требованиям ФГОС 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ординатуры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внешняя оценка качества программы ординатуры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подготовка кадров</w:t>
      </w:r>
    </w:p>
    <w:p>
      <w:pPr>
        <w:pStyle w:val="0"/>
        <w:jc w:val="right"/>
      </w:pPr>
      <w:r>
        <w:rPr>
          <w:sz w:val="20"/>
        </w:rPr>
        <w:t xml:space="preserve">высшей квалификации по программам</w:t>
      </w:r>
    </w:p>
    <w:p>
      <w:pPr>
        <w:pStyle w:val="0"/>
        <w:jc w:val="right"/>
      </w:pPr>
      <w:r>
        <w:rPr>
          <w:sz w:val="20"/>
        </w:rPr>
        <w:t xml:space="preserve">ординатуры по специальности</w:t>
      </w:r>
    </w:p>
    <w:p>
      <w:pPr>
        <w:pStyle w:val="0"/>
        <w:jc w:val="right"/>
      </w:pPr>
      <w:r>
        <w:rPr>
          <w:sz w:val="20"/>
        </w:rPr>
        <w:t xml:space="preserve">31.08.63 Сердечно-сосудистая</w:t>
      </w:r>
    </w:p>
    <w:p>
      <w:pPr>
        <w:pStyle w:val="0"/>
        <w:jc w:val="right"/>
      </w:pPr>
      <w:r>
        <w:rPr>
          <w:sz w:val="20"/>
        </w:rPr>
        <w:t xml:space="preserve">хирургия,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июня 2021 г. N 563</w:t>
      </w:r>
    </w:p>
    <w:p>
      <w:pPr>
        <w:pStyle w:val="0"/>
        <w:jc w:val="both"/>
      </w:pPr>
      <w:r>
        <w:rPr>
          <w:sz w:val="20"/>
        </w:rPr>
      </w:r>
    </w:p>
    <w:bookmarkStart w:id="293" w:name="P293"/>
    <w:bookmarkEnd w:id="29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ОРДИНАТУРЫ ПО СПЕЦИАЛЬНОСТИ</w:t>
      </w:r>
    </w:p>
    <w:p>
      <w:pPr>
        <w:pStyle w:val="2"/>
        <w:jc w:val="center"/>
      </w:pPr>
      <w:r>
        <w:rPr>
          <w:sz w:val="20"/>
        </w:rPr>
        <w:t xml:space="preserve">31.08.63 СЕРДЕЧНО-СОСУДИСТАЯ ХИРУРГИЯ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814"/>
        <w:gridCol w:w="6576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02</w:t>
              </w:r>
            </w:hyperlink>
            <w:r>
              <w:rPr>
                <w:sz w:val="20"/>
              </w:rPr>
              <w:t xml:space="preserve"> Здравоохранение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02.038</w:t>
            </w:r>
          </w:p>
        </w:tc>
        <w:tc>
          <w:tcPr>
            <w:tcW w:w="657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4.03.2018 N 143н &quot;Об утверждении профессионального стандарта &quot;Врач - сердечно-сосудистый хирург&quot; (Зарегистрировано в Минюсте России 05.04.2018 N 50643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"Врач - сердечно-сосудистый хирург", утвержденный приказом Министерства труда и социальной защиты Российской Федерации от 14 марта 2018 г. N 143н (зарегистрирован Министерством юстиции Российской Федерации 5 апреля 2018 г., регистрационный N 50643)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30.06.2021 N 563</w:t>
            <w:br/>
            <w:t>(ред. от 19.07.2022)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D9BC90E49CE645BCD61493250EE108B8892555D6A244BE9605C2156C498C13FA99A264DA7CA31DB33BADA38EA453A64BE22CB9383D755A42CxED" TargetMode = "External"/>
	<Relationship Id="rId8" Type="http://schemas.openxmlformats.org/officeDocument/2006/relationships/hyperlink" Target="consultantplus://offline/ref=DD9BC90E49CE645BCD61493250EE108B8893555A67244BE9605C2156C498C13FA99A264DA7CB35DC3ABADA38EA453A64BE22CB9383D755A42CxED" TargetMode = "External"/>
	<Relationship Id="rId9" Type="http://schemas.openxmlformats.org/officeDocument/2006/relationships/hyperlink" Target="consultantplus://offline/ref=DD9BC90E49CE645BCD61493250EE108B8F99545D66244BE9605C2156C498C13FA99A264DA7CB35DD39BADA38EA453A64BE22CB9383D755A42CxED" TargetMode = "External"/>
	<Relationship Id="rId10" Type="http://schemas.openxmlformats.org/officeDocument/2006/relationships/hyperlink" Target="consultantplus://offline/ref=DD9BC90E49CE645BCD61493250EE108B8892555D6A244BE9605C2156C498C13FA99A264DA7CA31DB32BADA38EA453A64BE22CB9383D755A42CxED" TargetMode = "External"/>
	<Relationship Id="rId11" Type="http://schemas.openxmlformats.org/officeDocument/2006/relationships/hyperlink" Target="consultantplus://offline/ref=DD9BC90E49CE645BCD61493250EE108B8D91545A60274BE9605C2156C498C13FA99A264DA7CB35DB3BBADA38EA453A64BE22CB9383D755A42CxED" TargetMode = "External"/>
	<Relationship Id="rId12" Type="http://schemas.openxmlformats.org/officeDocument/2006/relationships/hyperlink" Target="consultantplus://offline/ref=DD9BC90E49CE645BCD61493250EE108B8891595863204BE9605C2156C498C13FA99A264DA7C934DA3EBADA38EA453A64BE22CB9383D755A42CxED" TargetMode = "External"/>
	<Relationship Id="rId13" Type="http://schemas.openxmlformats.org/officeDocument/2006/relationships/hyperlink" Target="consultantplus://offline/ref=DD9BC90E49CE645BCD61493250EE108B8892555D6A244BE9605C2156C498C13FA99A264DA7CA31D83BBADA38EA453A64BE22CB9383D755A42CxED" TargetMode = "External"/>
	<Relationship Id="rId14" Type="http://schemas.openxmlformats.org/officeDocument/2006/relationships/hyperlink" Target="consultantplus://offline/ref=DD9BC90E49CE645BCD61493250EE108B8892555D6A244BE9605C2156C498C13FA99A264DA7CA31D83BBADA38EA453A64BE22CB9383D755A42CxED" TargetMode = "External"/>
	<Relationship Id="rId15" Type="http://schemas.openxmlformats.org/officeDocument/2006/relationships/hyperlink" Target="consultantplus://offline/ref=DD9BC90E49CE645BCD61493250EE108B88945D5E60264BE9605C2156C498C13FA99A264FAEC0618B7FE48368AE0E3761A03ECB9529xED" TargetMode = "External"/>
	<Relationship Id="rId16" Type="http://schemas.openxmlformats.org/officeDocument/2006/relationships/hyperlink" Target="consultantplus://offline/ref=DD9BC90E49CE645BCD61493250EE108B88945D5E60264BE9605C2156C498C13FBB9A7E41A6CB2BDA3FAF8C69AC21x3D" TargetMode = "External"/>
	<Relationship Id="rId17" Type="http://schemas.openxmlformats.org/officeDocument/2006/relationships/hyperlink" Target="consultantplus://offline/ref=DD9BC90E49CE645BCD61493250EE108B88945D5E60264BE9605C2156C498C13FA99A264DA7CA35DC3CBADA38EA453A64BE22CB9383D755A42CxED" TargetMode = "External"/>
	<Relationship Id="rId18" Type="http://schemas.openxmlformats.org/officeDocument/2006/relationships/hyperlink" Target="consultantplus://offline/ref=DD9BC90E49CE645BCD61493250EE108B88945D5E60264BE9605C2156C498C13FA99A264DA7CA35D23BBADA38EA453A64BE22CB9383D755A42CxED" TargetMode = "External"/>
	<Relationship Id="rId19" Type="http://schemas.openxmlformats.org/officeDocument/2006/relationships/hyperlink" Target="consultantplus://offline/ref=DD9BC90E49CE645BCD61493250EE108B88945D5E60264BE9605C2156C498C13FA99A264DA7CA35D23EBADA38EA453A64BE22CB9383D755A42CxED" TargetMode = "External"/>
	<Relationship Id="rId20" Type="http://schemas.openxmlformats.org/officeDocument/2006/relationships/hyperlink" Target="consultantplus://offline/ref=DD9BC90E49CE645BCD61493250EE108B88945D5E60264BE9605C2156C498C13FA99A264EA6CC3E8E6AF5DB64AF102965BA22C9979F2Dx6D" TargetMode = "External"/>
	<Relationship Id="rId21" Type="http://schemas.openxmlformats.org/officeDocument/2006/relationships/hyperlink" Target="consultantplus://offline/ref=DD9BC90E49CE645BCD61493250EE108B88945D5E60264BE9605C2156C498C13FA99A264DA7CB37DE32BADA38EA453A64BE22CB9383D755A42CxED" TargetMode = "External"/>
	<Relationship Id="rId22" Type="http://schemas.openxmlformats.org/officeDocument/2006/relationships/hyperlink" Target="consultantplus://offline/ref=DD9BC90E49CE645BCD61493250EE108B8E91595960264BE9605C2156C498C13FA99A264DA7CB35DE3CBADA38EA453A64BE22CB9383D755A42CxED" TargetMode = "External"/>
	<Relationship Id="rId23" Type="http://schemas.openxmlformats.org/officeDocument/2006/relationships/hyperlink" Target="consultantplus://offline/ref=DD9BC90E49CE645BCD61493250EE108B8E91595960264BE9605C2156C498C13FA99A264DA7CB35DF3BBADA38EA453A64BE22CB9383D755A42CxED" TargetMode = "External"/>
	<Relationship Id="rId24" Type="http://schemas.openxmlformats.org/officeDocument/2006/relationships/hyperlink" Target="consultantplus://offline/ref=DD9BC90E49CE645BCD61493250EE108B8E91595960264BE9605C2156C498C13FA99A264DA7CB35DF39BADA38EA453A64BE22CB9383D755A42CxED" TargetMode = "External"/>
	<Relationship Id="rId25" Type="http://schemas.openxmlformats.org/officeDocument/2006/relationships/hyperlink" Target="consultantplus://offline/ref=DD9BC90E49CE645BCD61493250EE108B8E91595960264BE9605C2156C498C13FA99A264DA7CB35DC39BADA38EA453A64BE22CB9383D755A42CxED" TargetMode = "External"/>
	<Relationship Id="rId26" Type="http://schemas.openxmlformats.org/officeDocument/2006/relationships/hyperlink" Target="consultantplus://offline/ref=DD9BC90E49CE645BCD61493250EE108B88945D5E60264BE9605C2156C498C13FA99A264DA7CA35D23CBADA38EA453A64BE22CB9383D755A42CxED" TargetMode = "External"/>
	<Relationship Id="rId27" Type="http://schemas.openxmlformats.org/officeDocument/2006/relationships/hyperlink" Target="consultantplus://offline/ref=DD9BC90E49CE645BCD61493250EE108B88945D5E60264BE9605C2156C498C13FA99A264DA7CA35DC3CBADA38EA453A64BE22CB9383D755A42CxED" TargetMode = "External"/>
	<Relationship Id="rId28" Type="http://schemas.openxmlformats.org/officeDocument/2006/relationships/hyperlink" Target="consultantplus://offline/ref=DD9BC90E49CE645BCD61493250EE108B8D95595F65204BE9605C2156C498C13FA99A264DA7CB35DA32BADA38EA453A64BE22CB9383D755A42CxED" TargetMode = "External"/>
	<Relationship Id="rId29" Type="http://schemas.openxmlformats.org/officeDocument/2006/relationships/hyperlink" Target="consultantplus://offline/ref=DD9BC90E49CE645BCD61493250EE108B8D95595F65204BE9605C2156C498C13FBB9A7E41A6CB2BDA3FAF8C69AC21x3D" TargetMode = "External"/>
	<Relationship Id="rId30" Type="http://schemas.openxmlformats.org/officeDocument/2006/relationships/hyperlink" Target="consultantplus://offline/ref=DD9BC90E49CE645BCD61493250EE108B88945D5E60264BE9605C2156C498C13FA99A264DA7CA35DC3CBADA38EA453A64BE22CB9383D755A42CxED" TargetMode = "External"/>
	<Relationship Id="rId31" Type="http://schemas.openxmlformats.org/officeDocument/2006/relationships/hyperlink" Target="consultantplus://offline/ref=DD9BC90E49CE645BCD61493250EE108B8E91595960264BE9605C2156C498C13FA99A264DA7CB35DA3DBADA38EA453A64BE22CB9383D755A42CxED" TargetMode = "External"/>
	<Relationship Id="rId32" Type="http://schemas.openxmlformats.org/officeDocument/2006/relationships/hyperlink" Target="consultantplus://offline/ref=DD9BC90E49CE645BCD61493250EE108B8D945B5765264BE9605C2156C498C13FBB9A7E41A6CB2BDA3FAF8C69AC21x3D" TargetMode = "External"/>
	<Relationship Id="rId33" Type="http://schemas.openxmlformats.org/officeDocument/2006/relationships/hyperlink" Target="consultantplus://offline/ref=DD9BC90E49CE645BCD61493250EE108B88935B56622E4BE9605C2156C498C13FBB9A7E41A6CB2BDA3FAF8C69AC21x3D" TargetMode = "External"/>
	<Relationship Id="rId34" Type="http://schemas.openxmlformats.org/officeDocument/2006/relationships/hyperlink" Target="consultantplus://offline/ref=DD9BC90E49CE645BCD61493250EE108B88925F5665234BE9605C2156C498C13FBB9A7E41A6CB2BDA3FAF8C69AC21x3D" TargetMode = "External"/>
	<Relationship Id="rId35" Type="http://schemas.openxmlformats.org/officeDocument/2006/relationships/hyperlink" Target="consultantplus://offline/ref=DD9BC90E49CE645BCD61493250EE108B8F96585962214BE9605C2156C498C13FBB9A7E41A6CB2BDA3FAF8C69AC21x3D" TargetMode = "External"/>
	<Relationship Id="rId36" Type="http://schemas.openxmlformats.org/officeDocument/2006/relationships/hyperlink" Target="consultantplus://offline/ref=DD9BC90E49CE645BCD61493250EE108B88935A5662224BE9605C2156C498C13FA99A264DA7CB3CDE3CBADA38EA453A64BE22CB9383D755A42CxED" TargetMode = "External"/>
	<Relationship Id="rId37" Type="http://schemas.openxmlformats.org/officeDocument/2006/relationships/hyperlink" Target="consultantplus://offline/ref=DD9BC90E49CE645BCD61493250EE108B8E91595960264BE9605C2156C498C13FA99A264DA7CB35DF39BADA38EA453A64BE22CB9383D755A42CxED" TargetMode = "External"/>
	<Relationship Id="rId38" Type="http://schemas.openxmlformats.org/officeDocument/2006/relationships/hyperlink" Target="consultantplus://offline/ref=DD9BC90E49CE645BCD61493250EE108B8E99585D6A264BE9605C2156C498C13FA99A264DA7CB35DA32BADA38EA453A64BE22CB9383D755A42CxED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30.06.2021 N 563
(ред. от 19.07.2022)
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31.08.63 Сердечно-сосудистая хирургия"
(Зарегистрировано в Минюсте России 28.07.2021 N 64405)</dc:title>
  <dcterms:created xsi:type="dcterms:W3CDTF">2023-04-10T03:49:48Z</dcterms:created>
</cp:coreProperties>
</file>